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32" w:rsidRPr="00186348" w:rsidRDefault="00AC1932" w:rsidP="00AC1932">
      <w:pPr>
        <w:rPr>
          <w:b/>
          <w:color w:val="000000" w:themeColor="text1"/>
          <w:lang w:val="az-Latn-AZ"/>
        </w:rPr>
      </w:pPr>
      <w:r w:rsidRPr="00186348">
        <w:rPr>
          <w:b/>
          <w:color w:val="000000" w:themeColor="text1"/>
          <w:lang w:val="az-Latn-AZ"/>
        </w:rPr>
        <w:t>Azərbaycan – Moldova</w:t>
      </w:r>
      <w:r>
        <w:rPr>
          <w:b/>
          <w:color w:val="000000" w:themeColor="text1"/>
          <w:lang w:val="az-Latn-AZ"/>
        </w:rPr>
        <w:t xml:space="preserve"> (1:1) 3:1</w:t>
      </w:r>
    </w:p>
    <w:p w:rsidR="00AC1932" w:rsidRPr="00C20F01" w:rsidRDefault="00AC1932" w:rsidP="00AC1932">
      <w:pPr>
        <w:rPr>
          <w:color w:val="000000" w:themeColor="text1"/>
          <w:lang w:val="az-Latn-AZ"/>
        </w:rPr>
      </w:pPr>
      <w:r w:rsidRPr="00C20F01">
        <w:rPr>
          <w:color w:val="000000" w:themeColor="text1"/>
          <w:lang w:val="az-Latn-AZ"/>
        </w:rPr>
        <w:t>23 oktyabr. Bakı İdman Sarayı. Saat 20:00</w:t>
      </w:r>
    </w:p>
    <w:p w:rsidR="00AC1932" w:rsidRDefault="00AC1932" w:rsidP="00AC1932">
      <w:pPr>
        <w:rPr>
          <w:color w:val="000000" w:themeColor="text1"/>
          <w:lang w:val="az-Latn-AZ"/>
        </w:rPr>
      </w:pPr>
      <w:r w:rsidRPr="00C20F01">
        <w:rPr>
          <w:color w:val="000000" w:themeColor="text1"/>
          <w:lang w:val="az-Latn-AZ"/>
        </w:rPr>
        <w:t>Hakimlər: Ondrey Çerny (Çexiya), İngus Puriņş (L</w:t>
      </w:r>
      <w:r>
        <w:rPr>
          <w:color w:val="000000" w:themeColor="text1"/>
          <w:lang w:val="az-Latn-AZ"/>
        </w:rPr>
        <w:t>atviya</w:t>
      </w:r>
      <w:r w:rsidRPr="00C20F01">
        <w:rPr>
          <w:color w:val="000000" w:themeColor="text1"/>
          <w:lang w:val="az-Latn-AZ"/>
        </w:rPr>
        <w:t>), İngo Heemsoth (Almaniya)</w:t>
      </w:r>
    </w:p>
    <w:p w:rsidR="00AC1932" w:rsidRPr="00AC1932" w:rsidRDefault="00AC1932" w:rsidP="00AC1932">
      <w:pPr>
        <w:rPr>
          <w:color w:val="000000" w:themeColor="text1"/>
          <w:lang w:val="en-US"/>
        </w:rPr>
      </w:pPr>
      <w:r w:rsidRPr="00AC1932">
        <w:rPr>
          <w:b/>
          <w:color w:val="000000" w:themeColor="text1"/>
          <w:lang w:val="en-US"/>
        </w:rPr>
        <w:t>Hakim-inspektor:</w:t>
      </w:r>
      <w:r w:rsidRPr="00AC1932">
        <w:rPr>
          <w:color w:val="000000" w:themeColor="text1"/>
          <w:lang w:val="en-US"/>
        </w:rPr>
        <w:t xml:space="preserve"> Galan Nieto Pedro Angel (İspaniya)</w:t>
      </w:r>
    </w:p>
    <w:p w:rsidR="00AC1932" w:rsidRPr="00AC1932" w:rsidRDefault="00AC1932" w:rsidP="00AC1932">
      <w:pPr>
        <w:rPr>
          <w:color w:val="000000" w:themeColor="text1"/>
          <w:lang w:val="en-US"/>
        </w:rPr>
      </w:pPr>
      <w:r w:rsidRPr="00AC1932">
        <w:rPr>
          <w:b/>
          <w:color w:val="000000" w:themeColor="text1"/>
          <w:lang w:val="en-US"/>
        </w:rPr>
        <w:t>UEFA nümayəndəsi</w:t>
      </w:r>
      <w:r w:rsidRPr="00AC1932">
        <w:rPr>
          <w:color w:val="000000" w:themeColor="text1"/>
          <w:lang w:val="en-US"/>
        </w:rPr>
        <w:t>: Assem Kuzhanova (Qazaxıstan)</w:t>
      </w:r>
    </w:p>
    <w:p w:rsidR="00AC1932" w:rsidRDefault="00AC1932" w:rsidP="00AC1932">
      <w:pPr>
        <w:rPr>
          <w:lang w:val="az-Latn-AZ"/>
        </w:rPr>
      </w:pPr>
      <w:r w:rsidRPr="00AC1932">
        <w:rPr>
          <w:b/>
          <w:color w:val="000000" w:themeColor="text1"/>
          <w:lang w:val="en-US"/>
        </w:rPr>
        <w:t>Qollar</w:t>
      </w:r>
      <w:r w:rsidRPr="00356E2D">
        <w:rPr>
          <w:b/>
          <w:color w:val="000000" w:themeColor="text1"/>
          <w:lang w:val="az-Latn-AZ"/>
        </w:rPr>
        <w:t>:</w:t>
      </w:r>
      <w:r>
        <w:rPr>
          <w:color w:val="000000" w:themeColor="text1"/>
          <w:lang w:val="az-Latn-AZ"/>
        </w:rPr>
        <w:t xml:space="preserve"> </w:t>
      </w:r>
      <w:r w:rsidRPr="00AC1932">
        <w:rPr>
          <w:lang w:val="en-US"/>
        </w:rPr>
        <w:t xml:space="preserve">T. Martins Thiago, 11:38, 34:40, </w:t>
      </w:r>
      <w:r w:rsidRPr="002C48FA">
        <w:rPr>
          <w:lang w:val="az-Latn-AZ"/>
        </w:rPr>
        <w:t xml:space="preserve">“Vassora”, </w:t>
      </w:r>
      <w:r>
        <w:rPr>
          <w:lang w:val="az-Latn-AZ"/>
        </w:rPr>
        <w:t xml:space="preserve">32:49, </w:t>
      </w:r>
      <w:r w:rsidRPr="00AC1932">
        <w:rPr>
          <w:lang w:val="en-US"/>
        </w:rPr>
        <w:t xml:space="preserve">// </w:t>
      </w:r>
      <w:r>
        <w:rPr>
          <w:lang w:val="az-Latn-AZ"/>
        </w:rPr>
        <w:t>A. Luşka, 07:15</w:t>
      </w:r>
    </w:p>
    <w:p w:rsidR="00AC1932" w:rsidRDefault="00AC1932" w:rsidP="00AC1932">
      <w:pPr>
        <w:rPr>
          <w:lang w:val="az-Latn-AZ"/>
        </w:rPr>
      </w:pPr>
      <w:r w:rsidRPr="00AF7A25">
        <w:rPr>
          <w:b/>
          <w:color w:val="000000" w:themeColor="text1"/>
          <w:lang w:val="az-Latn-AZ"/>
        </w:rPr>
        <w:t>Sarı vərəqələr</w:t>
      </w:r>
      <w:r>
        <w:rPr>
          <w:color w:val="000000" w:themeColor="text1"/>
          <w:lang w:val="az-Latn-AZ"/>
        </w:rPr>
        <w:t xml:space="preserve">: </w:t>
      </w:r>
      <w:r>
        <w:rPr>
          <w:lang w:val="az-Latn-AZ"/>
        </w:rPr>
        <w:t>Eduardo,</w:t>
      </w:r>
      <w:r w:rsidRPr="002C48FA">
        <w:rPr>
          <w:lang w:val="az-Latn-AZ"/>
        </w:rPr>
        <w:t xml:space="preserve"> 20:43 (qeyri-idman hərəkəti)</w:t>
      </w:r>
      <w:r>
        <w:rPr>
          <w:lang w:val="az-Latn-AZ"/>
        </w:rPr>
        <w:t>,</w:t>
      </w:r>
      <w:r w:rsidRPr="002C48FA">
        <w:rPr>
          <w:lang w:val="az-Latn-AZ"/>
        </w:rPr>
        <w:t xml:space="preserve"> </w:t>
      </w:r>
      <w:r w:rsidRPr="00FC7149">
        <w:rPr>
          <w:lang w:val="az-Latn-AZ"/>
        </w:rPr>
        <w:t>A</w:t>
      </w:r>
      <w:r>
        <w:rPr>
          <w:lang w:val="az-Latn-AZ"/>
        </w:rPr>
        <w:t>.</w:t>
      </w:r>
      <w:r w:rsidRPr="00FC7149">
        <w:rPr>
          <w:lang w:val="az-Latn-AZ"/>
        </w:rPr>
        <w:t xml:space="preserve"> Shojaei, 33:50 </w:t>
      </w:r>
      <w:r>
        <w:rPr>
          <w:lang w:val="az-Latn-AZ"/>
        </w:rPr>
        <w:t xml:space="preserve">(qeyri-idman hərəkəti) </w:t>
      </w:r>
      <w:r w:rsidRPr="002C48FA">
        <w:rPr>
          <w:lang w:val="az-Latn-AZ"/>
        </w:rPr>
        <w:t xml:space="preserve">// </w:t>
      </w:r>
      <w:r>
        <w:rPr>
          <w:lang w:val="az-Latn-AZ"/>
        </w:rPr>
        <w:t xml:space="preserve">S. Takot, 18:00 (qeyri-idman hərəkəti) </w:t>
      </w:r>
    </w:p>
    <w:p w:rsidR="00AC1932" w:rsidRDefault="00AC1932" w:rsidP="00AC1932">
      <w:pPr>
        <w:rPr>
          <w:lang w:val="az-Latn-AZ"/>
        </w:rPr>
      </w:pPr>
      <w:r w:rsidRPr="002B600E">
        <w:rPr>
          <w:b/>
          <w:lang w:val="az-Latn-AZ"/>
        </w:rPr>
        <w:t>Qırmızı vərəqə</w:t>
      </w:r>
      <w:r>
        <w:rPr>
          <w:lang w:val="az-Latn-AZ"/>
        </w:rPr>
        <w:t>: İsa Atayeav, 23:34 (sonuncu ümid foulu)</w:t>
      </w:r>
    </w:p>
    <w:p w:rsidR="00AC1932" w:rsidRDefault="00AC1932" w:rsidP="00AC1932">
      <w:pPr>
        <w:rPr>
          <w:color w:val="000000" w:themeColor="text1"/>
          <w:lang w:val="az-Latn-AZ"/>
        </w:rPr>
      </w:pPr>
      <w:r w:rsidRPr="003831F3">
        <w:rPr>
          <w:b/>
          <w:lang w:val="az-Latn-AZ"/>
        </w:rPr>
        <w:t>İstifadə olunmamış penalti</w:t>
      </w:r>
      <w:r>
        <w:rPr>
          <w:lang w:val="az-Latn-AZ"/>
        </w:rPr>
        <w:t xml:space="preserve">: </w:t>
      </w:r>
      <w:r w:rsidRPr="002C48FA">
        <w:rPr>
          <w:lang w:val="az-Latn-AZ"/>
        </w:rPr>
        <w:t>“Vassora”,</w:t>
      </w:r>
      <w:r>
        <w:rPr>
          <w:lang w:val="az-Latn-AZ"/>
        </w:rPr>
        <w:t xml:space="preserve"> 28:43</w:t>
      </w:r>
    </w:p>
    <w:p w:rsidR="00AC1932" w:rsidRDefault="00AC1932" w:rsidP="00AC1932">
      <w:pPr>
        <w:rPr>
          <w:color w:val="000000" w:themeColor="text1"/>
          <w:lang w:val="az-Latn-AZ"/>
        </w:rPr>
      </w:pPr>
    </w:p>
    <w:p w:rsidR="00AC1932" w:rsidRPr="006F4410" w:rsidRDefault="00AC1932" w:rsidP="00AC1932">
      <w:pPr>
        <w:rPr>
          <w:b/>
          <w:color w:val="000000" w:themeColor="text1"/>
          <w:lang w:val="az-Latn-AZ"/>
        </w:rPr>
      </w:pPr>
      <w:r>
        <w:rPr>
          <w:b/>
          <w:color w:val="000000" w:themeColor="text1"/>
          <w:lang w:val="az-Latn-AZ"/>
        </w:rPr>
        <w:t>A</w:t>
      </w:r>
      <w:r w:rsidRPr="006F4410">
        <w:rPr>
          <w:b/>
          <w:color w:val="000000" w:themeColor="text1"/>
          <w:lang w:val="az-Latn-AZ"/>
        </w:rPr>
        <w:t>zərbaycan</w:t>
      </w:r>
    </w:p>
    <w:p w:rsidR="00AC1932" w:rsidRPr="00441F94" w:rsidRDefault="00AC1932" w:rsidP="00AC1932">
      <w:pPr>
        <w:rPr>
          <w:lang w:val="az-Latn-AZ"/>
        </w:rPr>
      </w:pPr>
      <w:r w:rsidRPr="006F4410">
        <w:rPr>
          <w:lang w:val="az-Latn-AZ"/>
        </w:rPr>
        <w:t xml:space="preserve">12. Rövşən Hüseyinli (q), </w:t>
      </w:r>
      <w:r>
        <w:rPr>
          <w:lang w:val="az-Latn-AZ"/>
        </w:rPr>
        <w:t>3</w:t>
      </w:r>
      <w:r w:rsidRPr="00AC1932">
        <w:rPr>
          <w:lang w:val="az-Latn-AZ"/>
        </w:rPr>
        <w:t xml:space="preserve">. </w:t>
      </w:r>
      <w:r w:rsidRPr="00AC1932">
        <w:rPr>
          <w:lang w:val="en-US"/>
        </w:rPr>
        <w:t xml:space="preserve">Teles Martins Thiago, 6.Borges Eduardo, 10. Oliveira Do Nascimento Williams “Vassora”, 13. Amir Shojaei, </w:t>
      </w:r>
      <w:r w:rsidRPr="006F4410">
        <w:rPr>
          <w:lang w:val="az-Latn-AZ"/>
        </w:rPr>
        <w:t xml:space="preserve">1. Elnur Zamanov (q) 14. Hadi Ahmadi, 9. Nihad İsmayılov, 11. Xətai Bağırov, 17. </w:t>
      </w:r>
      <w:r w:rsidRPr="00E94039">
        <w:rPr>
          <w:lang w:val="az-Latn-AZ"/>
        </w:rPr>
        <w:t xml:space="preserve">İsa Atayev, 8. Rizvan Fərzəliyev, 7. Ramiz Çovdarov, 5. </w:t>
      </w:r>
      <w:r w:rsidRPr="00441F94">
        <w:rPr>
          <w:lang w:val="az-Latn-AZ"/>
        </w:rPr>
        <w:t xml:space="preserve">Vahid Shafiei, 20.İsagh Soorghali, </w:t>
      </w:r>
    </w:p>
    <w:p w:rsidR="00AC1932" w:rsidRPr="00441F94" w:rsidRDefault="00AC1932" w:rsidP="00AC1932">
      <w:pPr>
        <w:rPr>
          <w:lang w:val="az-Latn-AZ"/>
        </w:rPr>
      </w:pPr>
      <w:r w:rsidRPr="00441F94">
        <w:rPr>
          <w:lang w:val="az-Latn-AZ"/>
        </w:rPr>
        <w:t>Baş məşqçi: Joze Alesio Da Silva</w:t>
      </w:r>
    </w:p>
    <w:p w:rsidR="00AC1932" w:rsidRDefault="00AC1932" w:rsidP="00AC1932">
      <w:pPr>
        <w:rPr>
          <w:color w:val="000000" w:themeColor="text1"/>
          <w:lang w:val="az-Latn-AZ"/>
        </w:rPr>
      </w:pPr>
    </w:p>
    <w:p w:rsidR="00AC1932" w:rsidRDefault="00AC1932" w:rsidP="00AC1932">
      <w:pPr>
        <w:rPr>
          <w:b/>
          <w:color w:val="000000" w:themeColor="text1"/>
          <w:lang w:val="az-Latn-AZ"/>
        </w:rPr>
      </w:pPr>
      <w:r w:rsidRPr="008529D2">
        <w:rPr>
          <w:b/>
          <w:color w:val="000000" w:themeColor="text1"/>
          <w:lang w:val="az-Latn-AZ"/>
        </w:rPr>
        <w:t>Moldova</w:t>
      </w:r>
    </w:p>
    <w:p w:rsidR="00AC1932" w:rsidRDefault="00AC1932" w:rsidP="00AC1932">
      <w:pPr>
        <w:rPr>
          <w:lang w:val="az-Latn-AZ"/>
        </w:rPr>
      </w:pPr>
      <w:r w:rsidRPr="006F4410">
        <w:rPr>
          <w:color w:val="000000" w:themeColor="text1"/>
          <w:lang w:val="az-Latn-AZ"/>
        </w:rPr>
        <w:t xml:space="preserve">1. </w:t>
      </w:r>
      <w:r>
        <w:rPr>
          <w:lang w:val="az-Latn-AZ"/>
        </w:rPr>
        <w:t>Aleksey Kapsamun (q), 6. Konstantin Burdujel, 7. Andrian Luşka, 9. Kristian Obada, 10. Sergey Takot (k), 12. Andrey  Makoviciuc, 2. Aleksand Çımbalist, 3. Kristian Krasnov, 4. Sergey Nikolayçuk, 5. Andrey Neqara, 8. Konstantin Nita, 11. Lulian Kojokaru, 13. İon Koval, 14. Konstantin Qurjui</w:t>
      </w:r>
    </w:p>
    <w:p w:rsidR="00AC1932" w:rsidRDefault="00AC1932" w:rsidP="00AC1932">
      <w:pPr>
        <w:rPr>
          <w:lang w:val="az-Latn-AZ"/>
        </w:rPr>
      </w:pPr>
      <w:r w:rsidRPr="00806867">
        <w:rPr>
          <w:b/>
          <w:lang w:val="az-Latn-AZ"/>
        </w:rPr>
        <w:t>Baş məşqçi</w:t>
      </w:r>
      <w:r>
        <w:rPr>
          <w:lang w:val="az-Latn-AZ"/>
        </w:rPr>
        <w:t>: Vladimir Busatıy</w:t>
      </w:r>
    </w:p>
    <w:p w:rsidR="00AC1932" w:rsidRDefault="00AC1932" w:rsidP="00AC1932">
      <w:pPr>
        <w:rPr>
          <w:lang w:val="az-Latn-AZ"/>
        </w:rPr>
      </w:pPr>
    </w:p>
    <w:p w:rsidR="00AC1932" w:rsidRDefault="00AC1932" w:rsidP="00AC1932">
      <w:pPr>
        <w:rPr>
          <w:lang w:val="az-Latn-A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755"/>
        <w:gridCol w:w="855"/>
        <w:gridCol w:w="1050"/>
        <w:gridCol w:w="1290"/>
        <w:gridCol w:w="1620"/>
        <w:gridCol w:w="1290"/>
        <w:gridCol w:w="855"/>
      </w:tblGrid>
      <w:tr w:rsidR="00AC1932" w:rsidRPr="00441F94" w:rsidTr="002003ED">
        <w:trPr>
          <w:tblCellSpacing w:w="15" w:type="dxa"/>
        </w:trPr>
        <w:tc>
          <w:tcPr>
            <w:tcW w:w="675" w:type="dxa"/>
            <w:vAlign w:val="center"/>
            <w:hideMark/>
          </w:tcPr>
          <w:p w:rsidR="00AC1932" w:rsidRPr="00441F94" w:rsidRDefault="00AC1932" w:rsidP="002003ED">
            <w:pPr>
              <w:spacing w:before="100" w:beforeAutospacing="1" w:after="100" w:afterAutospacing="1"/>
              <w:jc w:val="center"/>
            </w:pPr>
            <w:r w:rsidRPr="00441F94">
              <w:t>№</w:t>
            </w:r>
          </w:p>
        </w:tc>
        <w:tc>
          <w:tcPr>
            <w:tcW w:w="1725" w:type="dxa"/>
            <w:vAlign w:val="center"/>
            <w:hideMark/>
          </w:tcPr>
          <w:p w:rsidR="00AC1932" w:rsidRPr="00441F94" w:rsidRDefault="00AC1932" w:rsidP="002003ED">
            <w:pPr>
              <w:spacing w:before="100" w:beforeAutospacing="1" w:after="100" w:afterAutospacing="1"/>
              <w:jc w:val="center"/>
            </w:pPr>
            <w:proofErr w:type="spellStart"/>
            <w:r w:rsidRPr="00441F94">
              <w:t>Komanda</w:t>
            </w:r>
            <w:proofErr w:type="spellEnd"/>
          </w:p>
        </w:tc>
        <w:tc>
          <w:tcPr>
            <w:tcW w:w="825" w:type="dxa"/>
            <w:vAlign w:val="center"/>
            <w:hideMark/>
          </w:tcPr>
          <w:p w:rsidR="00AC1932" w:rsidRPr="00441F94" w:rsidRDefault="00AC1932" w:rsidP="002003ED">
            <w:pPr>
              <w:spacing w:before="100" w:beforeAutospacing="1" w:after="100" w:afterAutospacing="1"/>
              <w:jc w:val="center"/>
            </w:pPr>
            <w:r w:rsidRPr="00441F94">
              <w:t>O</w:t>
            </w:r>
          </w:p>
        </w:tc>
        <w:tc>
          <w:tcPr>
            <w:tcW w:w="1020" w:type="dxa"/>
            <w:vAlign w:val="center"/>
            <w:hideMark/>
          </w:tcPr>
          <w:p w:rsidR="00AC1932" w:rsidRPr="00441F94" w:rsidRDefault="00AC1932" w:rsidP="002003ED">
            <w:pPr>
              <w:spacing w:before="100" w:beforeAutospacing="1" w:after="100" w:afterAutospacing="1"/>
              <w:jc w:val="center"/>
            </w:pPr>
            <w:r w:rsidRPr="00441F94">
              <w:t>Q</w:t>
            </w:r>
          </w:p>
        </w:tc>
        <w:tc>
          <w:tcPr>
            <w:tcW w:w="1260" w:type="dxa"/>
            <w:vAlign w:val="center"/>
            <w:hideMark/>
          </w:tcPr>
          <w:p w:rsidR="00AC1932" w:rsidRPr="00441F94" w:rsidRDefault="00AC1932" w:rsidP="002003ED">
            <w:pPr>
              <w:spacing w:before="100" w:beforeAutospacing="1" w:after="100" w:afterAutospacing="1"/>
              <w:jc w:val="center"/>
            </w:pPr>
            <w:r w:rsidRPr="00441F94">
              <w:t>H/H</w:t>
            </w:r>
          </w:p>
        </w:tc>
        <w:tc>
          <w:tcPr>
            <w:tcW w:w="1590" w:type="dxa"/>
            <w:vAlign w:val="center"/>
            <w:hideMark/>
          </w:tcPr>
          <w:p w:rsidR="00AC1932" w:rsidRPr="00441F94" w:rsidRDefault="00AC1932" w:rsidP="002003ED">
            <w:pPr>
              <w:spacing w:before="100" w:beforeAutospacing="1" w:after="100" w:afterAutospacing="1"/>
              <w:jc w:val="center"/>
            </w:pPr>
            <w:r w:rsidRPr="00441F94">
              <w:t>M</w:t>
            </w:r>
          </w:p>
        </w:tc>
        <w:tc>
          <w:tcPr>
            <w:tcW w:w="1260" w:type="dxa"/>
            <w:vAlign w:val="center"/>
            <w:hideMark/>
          </w:tcPr>
          <w:p w:rsidR="00AC1932" w:rsidRPr="00441F94" w:rsidRDefault="00AC1932" w:rsidP="002003ED">
            <w:pPr>
              <w:spacing w:before="100" w:beforeAutospacing="1" w:after="100" w:afterAutospacing="1"/>
              <w:jc w:val="center"/>
            </w:pPr>
            <w:r w:rsidRPr="00441F94">
              <w:t>T/F</w:t>
            </w:r>
          </w:p>
        </w:tc>
        <w:tc>
          <w:tcPr>
            <w:tcW w:w="810" w:type="dxa"/>
            <w:vAlign w:val="center"/>
            <w:hideMark/>
          </w:tcPr>
          <w:p w:rsidR="00AC1932" w:rsidRPr="00441F94" w:rsidRDefault="00AC1932" w:rsidP="002003ED">
            <w:pPr>
              <w:spacing w:before="100" w:beforeAutospacing="1" w:after="100" w:afterAutospacing="1"/>
              <w:jc w:val="center"/>
            </w:pPr>
            <w:r w:rsidRPr="00441F94">
              <w:t>X</w:t>
            </w:r>
          </w:p>
        </w:tc>
      </w:tr>
      <w:tr w:rsidR="00AC1932" w:rsidRPr="00441F94" w:rsidTr="002003ED">
        <w:trPr>
          <w:tblCellSpacing w:w="15" w:type="dxa"/>
        </w:trPr>
        <w:tc>
          <w:tcPr>
            <w:tcW w:w="675" w:type="dxa"/>
            <w:vAlign w:val="center"/>
            <w:hideMark/>
          </w:tcPr>
          <w:p w:rsidR="00AC1932" w:rsidRPr="00441F94" w:rsidRDefault="00AC1932" w:rsidP="002003ED">
            <w:pPr>
              <w:spacing w:before="100" w:beforeAutospacing="1" w:after="100" w:afterAutospacing="1"/>
              <w:jc w:val="center"/>
            </w:pPr>
            <w:r w:rsidRPr="00441F94">
              <w:t>1</w:t>
            </w:r>
          </w:p>
        </w:tc>
        <w:tc>
          <w:tcPr>
            <w:tcW w:w="1725" w:type="dxa"/>
            <w:vAlign w:val="center"/>
            <w:hideMark/>
          </w:tcPr>
          <w:p w:rsidR="00AC1932" w:rsidRPr="00441F94" w:rsidRDefault="00AC1932" w:rsidP="002003ED">
            <w:pPr>
              <w:spacing w:before="100" w:beforeAutospacing="1" w:after="100" w:afterAutospacing="1"/>
              <w:jc w:val="center"/>
            </w:pPr>
            <w:proofErr w:type="spellStart"/>
            <w:r>
              <w:t>Slovakiya</w:t>
            </w:r>
            <w:proofErr w:type="spellEnd"/>
          </w:p>
        </w:tc>
        <w:tc>
          <w:tcPr>
            <w:tcW w:w="825" w:type="dxa"/>
            <w:vAlign w:val="center"/>
            <w:hideMark/>
          </w:tcPr>
          <w:p w:rsidR="00AC1932" w:rsidRPr="00441F94" w:rsidRDefault="00AC1932" w:rsidP="002003ED">
            <w:pPr>
              <w:spacing w:before="100" w:beforeAutospacing="1" w:after="100" w:afterAutospacing="1"/>
              <w:jc w:val="center"/>
            </w:pPr>
            <w:r>
              <w:t>1</w:t>
            </w:r>
          </w:p>
        </w:tc>
        <w:tc>
          <w:tcPr>
            <w:tcW w:w="1020" w:type="dxa"/>
            <w:vAlign w:val="center"/>
            <w:hideMark/>
          </w:tcPr>
          <w:p w:rsidR="00AC1932" w:rsidRPr="00441F94" w:rsidRDefault="00AC1932" w:rsidP="002003ED">
            <w:pPr>
              <w:spacing w:before="100" w:beforeAutospacing="1" w:after="100" w:afterAutospacing="1"/>
              <w:jc w:val="center"/>
            </w:pPr>
            <w:r>
              <w:t>1</w:t>
            </w:r>
          </w:p>
        </w:tc>
        <w:tc>
          <w:tcPr>
            <w:tcW w:w="1260" w:type="dxa"/>
            <w:vAlign w:val="center"/>
            <w:hideMark/>
          </w:tcPr>
          <w:p w:rsidR="00AC1932" w:rsidRPr="00441F94" w:rsidRDefault="00AC1932" w:rsidP="002003ED">
            <w:pPr>
              <w:spacing w:before="100" w:beforeAutospacing="1" w:after="100" w:afterAutospacing="1"/>
              <w:jc w:val="center"/>
            </w:pPr>
            <w:r>
              <w:t>0</w:t>
            </w:r>
          </w:p>
        </w:tc>
        <w:tc>
          <w:tcPr>
            <w:tcW w:w="1590" w:type="dxa"/>
            <w:vAlign w:val="center"/>
            <w:hideMark/>
          </w:tcPr>
          <w:p w:rsidR="00AC1932" w:rsidRPr="00441F94" w:rsidRDefault="00AC1932" w:rsidP="002003ED">
            <w:pPr>
              <w:spacing w:before="100" w:beforeAutospacing="1" w:after="100" w:afterAutospacing="1"/>
              <w:jc w:val="center"/>
            </w:pPr>
            <w:r w:rsidRPr="00441F94">
              <w:t>0</w:t>
            </w:r>
          </w:p>
        </w:tc>
        <w:tc>
          <w:tcPr>
            <w:tcW w:w="1260" w:type="dxa"/>
            <w:vAlign w:val="center"/>
            <w:hideMark/>
          </w:tcPr>
          <w:p w:rsidR="00AC1932" w:rsidRPr="00441F94" w:rsidRDefault="00AC1932" w:rsidP="002003ED">
            <w:pPr>
              <w:spacing w:before="100" w:beforeAutospacing="1" w:after="100" w:afterAutospacing="1"/>
              <w:jc w:val="center"/>
            </w:pPr>
            <w:r>
              <w:t>5</w:t>
            </w:r>
            <w:r w:rsidRPr="00441F94">
              <w:t>-</w:t>
            </w:r>
            <w:r>
              <w:t>0</w:t>
            </w:r>
          </w:p>
        </w:tc>
        <w:tc>
          <w:tcPr>
            <w:tcW w:w="810" w:type="dxa"/>
            <w:vAlign w:val="center"/>
            <w:hideMark/>
          </w:tcPr>
          <w:p w:rsidR="00AC1932" w:rsidRPr="00441F94" w:rsidRDefault="00AC1932" w:rsidP="002003ED">
            <w:pPr>
              <w:spacing w:before="100" w:beforeAutospacing="1" w:after="100" w:afterAutospacing="1"/>
              <w:jc w:val="center"/>
            </w:pPr>
            <w:r>
              <w:t>3</w:t>
            </w:r>
          </w:p>
        </w:tc>
      </w:tr>
      <w:tr w:rsidR="00AC1932" w:rsidRPr="00441F94" w:rsidTr="002003ED">
        <w:trPr>
          <w:tblCellSpacing w:w="15" w:type="dxa"/>
        </w:trPr>
        <w:tc>
          <w:tcPr>
            <w:tcW w:w="675" w:type="dxa"/>
            <w:vAlign w:val="center"/>
            <w:hideMark/>
          </w:tcPr>
          <w:p w:rsidR="00AC1932" w:rsidRPr="00441F94" w:rsidRDefault="00AC1932" w:rsidP="002003ED">
            <w:pPr>
              <w:spacing w:before="100" w:beforeAutospacing="1" w:after="100" w:afterAutospacing="1"/>
              <w:jc w:val="center"/>
            </w:pPr>
            <w:r w:rsidRPr="00441F94">
              <w:t>2</w:t>
            </w:r>
          </w:p>
        </w:tc>
        <w:tc>
          <w:tcPr>
            <w:tcW w:w="1725" w:type="dxa"/>
            <w:vAlign w:val="center"/>
            <w:hideMark/>
          </w:tcPr>
          <w:p w:rsidR="00AC1932" w:rsidRPr="00441F94" w:rsidRDefault="00AC1932" w:rsidP="002003ED">
            <w:pPr>
              <w:spacing w:before="100" w:beforeAutospacing="1" w:after="100" w:afterAutospacing="1"/>
              <w:jc w:val="center"/>
            </w:pPr>
            <w:proofErr w:type="spellStart"/>
            <w:r>
              <w:t>Azərbaycan</w:t>
            </w:r>
            <w:proofErr w:type="spellEnd"/>
          </w:p>
        </w:tc>
        <w:tc>
          <w:tcPr>
            <w:tcW w:w="825" w:type="dxa"/>
            <w:vAlign w:val="center"/>
            <w:hideMark/>
          </w:tcPr>
          <w:p w:rsidR="00AC1932" w:rsidRPr="00441F94" w:rsidRDefault="00AC1932" w:rsidP="002003ED">
            <w:pPr>
              <w:spacing w:before="100" w:beforeAutospacing="1" w:after="100" w:afterAutospacing="1"/>
              <w:jc w:val="center"/>
            </w:pPr>
            <w:r>
              <w:t>1</w:t>
            </w:r>
          </w:p>
        </w:tc>
        <w:tc>
          <w:tcPr>
            <w:tcW w:w="1020" w:type="dxa"/>
            <w:vAlign w:val="center"/>
            <w:hideMark/>
          </w:tcPr>
          <w:p w:rsidR="00AC1932" w:rsidRPr="00441F94" w:rsidRDefault="00AC1932" w:rsidP="002003ED">
            <w:pPr>
              <w:spacing w:before="100" w:beforeAutospacing="1" w:after="100" w:afterAutospacing="1"/>
              <w:jc w:val="center"/>
            </w:pPr>
            <w:r>
              <w:t>1</w:t>
            </w:r>
          </w:p>
        </w:tc>
        <w:tc>
          <w:tcPr>
            <w:tcW w:w="1260" w:type="dxa"/>
            <w:vAlign w:val="center"/>
            <w:hideMark/>
          </w:tcPr>
          <w:p w:rsidR="00AC1932" w:rsidRPr="00441F94" w:rsidRDefault="00AC1932" w:rsidP="002003ED">
            <w:pPr>
              <w:spacing w:before="100" w:beforeAutospacing="1" w:after="100" w:afterAutospacing="1"/>
              <w:jc w:val="center"/>
            </w:pPr>
            <w:r>
              <w:t>0</w:t>
            </w:r>
          </w:p>
        </w:tc>
        <w:tc>
          <w:tcPr>
            <w:tcW w:w="1590" w:type="dxa"/>
            <w:vAlign w:val="center"/>
            <w:hideMark/>
          </w:tcPr>
          <w:p w:rsidR="00AC1932" w:rsidRPr="00441F94" w:rsidRDefault="00AC1932" w:rsidP="002003ED">
            <w:pPr>
              <w:spacing w:before="100" w:beforeAutospacing="1" w:after="100" w:afterAutospacing="1"/>
              <w:jc w:val="center"/>
            </w:pPr>
            <w:r w:rsidRPr="00441F94">
              <w:t>0</w:t>
            </w:r>
          </w:p>
        </w:tc>
        <w:tc>
          <w:tcPr>
            <w:tcW w:w="1260" w:type="dxa"/>
            <w:vAlign w:val="center"/>
            <w:hideMark/>
          </w:tcPr>
          <w:p w:rsidR="00AC1932" w:rsidRPr="00441F94" w:rsidRDefault="00AC1932" w:rsidP="002003ED">
            <w:pPr>
              <w:spacing w:before="100" w:beforeAutospacing="1" w:after="100" w:afterAutospacing="1"/>
              <w:jc w:val="center"/>
            </w:pPr>
            <w:r>
              <w:t>3</w:t>
            </w:r>
            <w:r w:rsidRPr="00441F94">
              <w:t>-</w:t>
            </w:r>
            <w:r>
              <w:t>1</w:t>
            </w:r>
          </w:p>
        </w:tc>
        <w:tc>
          <w:tcPr>
            <w:tcW w:w="810" w:type="dxa"/>
            <w:vAlign w:val="center"/>
            <w:hideMark/>
          </w:tcPr>
          <w:p w:rsidR="00AC1932" w:rsidRPr="00441F94" w:rsidRDefault="00AC1932" w:rsidP="002003ED">
            <w:pPr>
              <w:spacing w:before="100" w:beforeAutospacing="1" w:after="100" w:afterAutospacing="1"/>
              <w:jc w:val="center"/>
            </w:pPr>
            <w:r>
              <w:t>3</w:t>
            </w:r>
          </w:p>
        </w:tc>
      </w:tr>
      <w:tr w:rsidR="00AC1932" w:rsidRPr="00441F94" w:rsidTr="002003ED">
        <w:trPr>
          <w:tblCellSpacing w:w="15" w:type="dxa"/>
        </w:trPr>
        <w:tc>
          <w:tcPr>
            <w:tcW w:w="675" w:type="dxa"/>
            <w:vAlign w:val="center"/>
            <w:hideMark/>
          </w:tcPr>
          <w:p w:rsidR="00AC1932" w:rsidRPr="00441F94" w:rsidRDefault="00AC1932" w:rsidP="002003ED">
            <w:pPr>
              <w:spacing w:before="100" w:beforeAutospacing="1" w:after="100" w:afterAutospacing="1"/>
              <w:jc w:val="center"/>
            </w:pPr>
            <w:r w:rsidRPr="00441F94">
              <w:t>3</w:t>
            </w:r>
          </w:p>
        </w:tc>
        <w:tc>
          <w:tcPr>
            <w:tcW w:w="1725" w:type="dxa"/>
            <w:vAlign w:val="center"/>
            <w:hideMark/>
          </w:tcPr>
          <w:p w:rsidR="00AC1932" w:rsidRPr="00441F94" w:rsidRDefault="00AC1932" w:rsidP="002003ED">
            <w:pPr>
              <w:spacing w:before="100" w:beforeAutospacing="1" w:after="100" w:afterAutospacing="1"/>
              <w:jc w:val="center"/>
            </w:pPr>
            <w:proofErr w:type="spellStart"/>
            <w:r>
              <w:t>Moldova</w:t>
            </w:r>
            <w:proofErr w:type="spellEnd"/>
          </w:p>
        </w:tc>
        <w:tc>
          <w:tcPr>
            <w:tcW w:w="825" w:type="dxa"/>
            <w:vAlign w:val="center"/>
            <w:hideMark/>
          </w:tcPr>
          <w:p w:rsidR="00AC1932" w:rsidRPr="00441F94" w:rsidRDefault="00AC1932" w:rsidP="002003ED">
            <w:pPr>
              <w:spacing w:before="100" w:beforeAutospacing="1" w:after="100" w:afterAutospacing="1"/>
              <w:jc w:val="center"/>
            </w:pPr>
            <w:r>
              <w:t>1</w:t>
            </w:r>
          </w:p>
        </w:tc>
        <w:tc>
          <w:tcPr>
            <w:tcW w:w="1020" w:type="dxa"/>
            <w:vAlign w:val="center"/>
            <w:hideMark/>
          </w:tcPr>
          <w:p w:rsidR="00AC1932" w:rsidRPr="00441F94" w:rsidRDefault="00AC1932" w:rsidP="002003ED">
            <w:pPr>
              <w:spacing w:before="100" w:beforeAutospacing="1" w:after="100" w:afterAutospacing="1"/>
              <w:jc w:val="center"/>
            </w:pPr>
            <w:r>
              <w:t>0</w:t>
            </w:r>
          </w:p>
        </w:tc>
        <w:tc>
          <w:tcPr>
            <w:tcW w:w="1260" w:type="dxa"/>
            <w:vAlign w:val="center"/>
            <w:hideMark/>
          </w:tcPr>
          <w:p w:rsidR="00AC1932" w:rsidRPr="00441F94" w:rsidRDefault="00AC1932" w:rsidP="002003ED">
            <w:pPr>
              <w:spacing w:before="100" w:beforeAutospacing="1" w:after="100" w:afterAutospacing="1"/>
              <w:jc w:val="center"/>
            </w:pPr>
            <w:r w:rsidRPr="00441F94">
              <w:t>0</w:t>
            </w:r>
          </w:p>
        </w:tc>
        <w:tc>
          <w:tcPr>
            <w:tcW w:w="1590" w:type="dxa"/>
            <w:vAlign w:val="center"/>
            <w:hideMark/>
          </w:tcPr>
          <w:p w:rsidR="00AC1932" w:rsidRPr="00441F94" w:rsidRDefault="00AC1932" w:rsidP="002003ED">
            <w:pPr>
              <w:spacing w:before="100" w:beforeAutospacing="1" w:after="100" w:afterAutospacing="1"/>
              <w:jc w:val="center"/>
            </w:pPr>
            <w:r>
              <w:t>1</w:t>
            </w:r>
          </w:p>
        </w:tc>
        <w:tc>
          <w:tcPr>
            <w:tcW w:w="1260" w:type="dxa"/>
            <w:vAlign w:val="center"/>
            <w:hideMark/>
          </w:tcPr>
          <w:p w:rsidR="00AC1932" w:rsidRPr="00441F94" w:rsidRDefault="00AC1932" w:rsidP="002003ED">
            <w:pPr>
              <w:spacing w:before="100" w:beforeAutospacing="1" w:after="100" w:afterAutospacing="1"/>
              <w:jc w:val="center"/>
            </w:pPr>
            <w:r>
              <w:t>1-3</w:t>
            </w:r>
          </w:p>
        </w:tc>
        <w:tc>
          <w:tcPr>
            <w:tcW w:w="810" w:type="dxa"/>
            <w:vAlign w:val="center"/>
            <w:hideMark/>
          </w:tcPr>
          <w:p w:rsidR="00AC1932" w:rsidRPr="00441F94" w:rsidRDefault="00AC1932" w:rsidP="002003ED">
            <w:pPr>
              <w:spacing w:before="100" w:beforeAutospacing="1" w:after="100" w:afterAutospacing="1"/>
              <w:jc w:val="center"/>
            </w:pPr>
            <w:r>
              <w:t>0</w:t>
            </w:r>
          </w:p>
        </w:tc>
      </w:tr>
      <w:tr w:rsidR="00AC1932" w:rsidRPr="00441F94" w:rsidTr="002003ED">
        <w:trPr>
          <w:tblCellSpacing w:w="15" w:type="dxa"/>
        </w:trPr>
        <w:tc>
          <w:tcPr>
            <w:tcW w:w="675" w:type="dxa"/>
            <w:vAlign w:val="center"/>
            <w:hideMark/>
          </w:tcPr>
          <w:p w:rsidR="00AC1932" w:rsidRPr="00441F94" w:rsidRDefault="00AC1932" w:rsidP="002003ED">
            <w:pPr>
              <w:spacing w:before="100" w:beforeAutospacing="1" w:after="100" w:afterAutospacing="1"/>
              <w:jc w:val="center"/>
            </w:pPr>
            <w:r w:rsidRPr="00441F94">
              <w:t>4</w:t>
            </w:r>
          </w:p>
        </w:tc>
        <w:tc>
          <w:tcPr>
            <w:tcW w:w="1725" w:type="dxa"/>
            <w:vAlign w:val="center"/>
            <w:hideMark/>
          </w:tcPr>
          <w:p w:rsidR="00AC1932" w:rsidRPr="00441F94" w:rsidRDefault="00AC1932" w:rsidP="002003ED">
            <w:pPr>
              <w:spacing w:before="100" w:beforeAutospacing="1" w:after="100" w:afterAutospacing="1"/>
              <w:jc w:val="center"/>
            </w:pPr>
            <w:proofErr w:type="spellStart"/>
            <w:r>
              <w:t>Monteneqro</w:t>
            </w:r>
            <w:proofErr w:type="spellEnd"/>
          </w:p>
        </w:tc>
        <w:tc>
          <w:tcPr>
            <w:tcW w:w="825" w:type="dxa"/>
            <w:vAlign w:val="center"/>
            <w:hideMark/>
          </w:tcPr>
          <w:p w:rsidR="00AC1932" w:rsidRPr="00441F94" w:rsidRDefault="00AC1932" w:rsidP="002003ED">
            <w:pPr>
              <w:spacing w:before="100" w:beforeAutospacing="1" w:after="100" w:afterAutospacing="1"/>
              <w:jc w:val="center"/>
            </w:pPr>
            <w:r>
              <w:t>1</w:t>
            </w:r>
          </w:p>
        </w:tc>
        <w:tc>
          <w:tcPr>
            <w:tcW w:w="1020" w:type="dxa"/>
            <w:vAlign w:val="center"/>
            <w:hideMark/>
          </w:tcPr>
          <w:p w:rsidR="00AC1932" w:rsidRPr="00441F94" w:rsidRDefault="00AC1932" w:rsidP="002003ED">
            <w:pPr>
              <w:spacing w:before="100" w:beforeAutospacing="1" w:after="100" w:afterAutospacing="1"/>
              <w:jc w:val="center"/>
            </w:pPr>
            <w:r w:rsidRPr="00441F94">
              <w:t>0</w:t>
            </w:r>
          </w:p>
        </w:tc>
        <w:tc>
          <w:tcPr>
            <w:tcW w:w="1260" w:type="dxa"/>
            <w:vAlign w:val="center"/>
            <w:hideMark/>
          </w:tcPr>
          <w:p w:rsidR="00AC1932" w:rsidRPr="00441F94" w:rsidRDefault="00AC1932" w:rsidP="002003ED">
            <w:pPr>
              <w:spacing w:before="100" w:beforeAutospacing="1" w:after="100" w:afterAutospacing="1"/>
              <w:jc w:val="center"/>
            </w:pPr>
            <w:r w:rsidRPr="00441F94">
              <w:t>0</w:t>
            </w:r>
          </w:p>
        </w:tc>
        <w:tc>
          <w:tcPr>
            <w:tcW w:w="1590" w:type="dxa"/>
            <w:vAlign w:val="center"/>
            <w:hideMark/>
          </w:tcPr>
          <w:p w:rsidR="00AC1932" w:rsidRPr="00441F94" w:rsidRDefault="00AC1932" w:rsidP="002003ED">
            <w:pPr>
              <w:spacing w:before="100" w:beforeAutospacing="1" w:after="100" w:afterAutospacing="1"/>
              <w:jc w:val="center"/>
            </w:pPr>
            <w:r>
              <w:t>1</w:t>
            </w:r>
          </w:p>
        </w:tc>
        <w:tc>
          <w:tcPr>
            <w:tcW w:w="1260" w:type="dxa"/>
            <w:vAlign w:val="center"/>
            <w:hideMark/>
          </w:tcPr>
          <w:p w:rsidR="00AC1932" w:rsidRPr="00441F94" w:rsidRDefault="00AC1932" w:rsidP="002003ED">
            <w:pPr>
              <w:spacing w:before="100" w:beforeAutospacing="1" w:after="100" w:afterAutospacing="1"/>
              <w:jc w:val="center"/>
            </w:pPr>
            <w:r>
              <w:t>0-5</w:t>
            </w:r>
          </w:p>
        </w:tc>
        <w:tc>
          <w:tcPr>
            <w:tcW w:w="810" w:type="dxa"/>
            <w:vAlign w:val="center"/>
            <w:hideMark/>
          </w:tcPr>
          <w:p w:rsidR="00AC1932" w:rsidRPr="00441F94" w:rsidRDefault="00AC1932" w:rsidP="002003ED">
            <w:pPr>
              <w:spacing w:before="100" w:beforeAutospacing="1" w:after="100" w:afterAutospacing="1"/>
              <w:jc w:val="center"/>
            </w:pPr>
            <w:r w:rsidRPr="00441F94">
              <w:t>0</w:t>
            </w:r>
          </w:p>
        </w:tc>
      </w:tr>
    </w:tbl>
    <w:p w:rsidR="00C938AF" w:rsidRPr="00AC1932" w:rsidRDefault="00C938AF" w:rsidP="00AC1932">
      <w:bookmarkStart w:id="0" w:name="_GoBack"/>
      <w:bookmarkEnd w:id="0"/>
    </w:p>
    <w:sectPr w:rsidR="00C938AF" w:rsidRPr="00AC1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24"/>
    <w:rsid w:val="00031C7E"/>
    <w:rsid w:val="00041EDA"/>
    <w:rsid w:val="00081D23"/>
    <w:rsid w:val="000A4BC1"/>
    <w:rsid w:val="000D7510"/>
    <w:rsid w:val="000E32C2"/>
    <w:rsid w:val="000F6BF5"/>
    <w:rsid w:val="00150752"/>
    <w:rsid w:val="00153AD9"/>
    <w:rsid w:val="001A529E"/>
    <w:rsid w:val="001D18FA"/>
    <w:rsid w:val="001E138E"/>
    <w:rsid w:val="001E3F35"/>
    <w:rsid w:val="00290BCB"/>
    <w:rsid w:val="002A57EA"/>
    <w:rsid w:val="002D0810"/>
    <w:rsid w:val="0032448E"/>
    <w:rsid w:val="00342F51"/>
    <w:rsid w:val="00373D80"/>
    <w:rsid w:val="00396E24"/>
    <w:rsid w:val="003B6B03"/>
    <w:rsid w:val="00415BA1"/>
    <w:rsid w:val="004628BC"/>
    <w:rsid w:val="004C2057"/>
    <w:rsid w:val="004C638C"/>
    <w:rsid w:val="005446D0"/>
    <w:rsid w:val="005B651B"/>
    <w:rsid w:val="0066317C"/>
    <w:rsid w:val="006E426F"/>
    <w:rsid w:val="0082017D"/>
    <w:rsid w:val="00825255"/>
    <w:rsid w:val="00843F33"/>
    <w:rsid w:val="008868EA"/>
    <w:rsid w:val="009037AC"/>
    <w:rsid w:val="00924163"/>
    <w:rsid w:val="00950A9F"/>
    <w:rsid w:val="00AA5F2F"/>
    <w:rsid w:val="00AC1932"/>
    <w:rsid w:val="00AD3552"/>
    <w:rsid w:val="00B05898"/>
    <w:rsid w:val="00B677A9"/>
    <w:rsid w:val="00B85E63"/>
    <w:rsid w:val="00BD7142"/>
    <w:rsid w:val="00BF2C37"/>
    <w:rsid w:val="00C11C9F"/>
    <w:rsid w:val="00C6452A"/>
    <w:rsid w:val="00C81947"/>
    <w:rsid w:val="00C938AF"/>
    <w:rsid w:val="00CA2130"/>
    <w:rsid w:val="00CA4A73"/>
    <w:rsid w:val="00CC468E"/>
    <w:rsid w:val="00CF4CD6"/>
    <w:rsid w:val="00D51A2A"/>
    <w:rsid w:val="00DF2947"/>
    <w:rsid w:val="00E30E9F"/>
    <w:rsid w:val="00E321FC"/>
    <w:rsid w:val="00E50A0F"/>
    <w:rsid w:val="00E62525"/>
    <w:rsid w:val="00E9359D"/>
    <w:rsid w:val="00EA3067"/>
    <w:rsid w:val="00EF33A8"/>
    <w:rsid w:val="00EF6D36"/>
    <w:rsid w:val="00F53FA1"/>
    <w:rsid w:val="00F6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D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38C"/>
    <w:pPr>
      <w:spacing w:before="100" w:beforeAutospacing="1" w:after="100" w:afterAutospacing="1"/>
    </w:pPr>
    <w:rPr>
      <w:lang w:val="en-US" w:eastAsia="en-US"/>
    </w:rPr>
  </w:style>
  <w:style w:type="character" w:styleId="Strong">
    <w:name w:val="Strong"/>
    <w:basedOn w:val="DefaultParagraphFont"/>
    <w:uiPriority w:val="22"/>
    <w:qFormat/>
    <w:rsid w:val="004C638C"/>
    <w:rPr>
      <w:b/>
      <w:bCs/>
    </w:rPr>
  </w:style>
  <w:style w:type="character" w:styleId="Hyperlink">
    <w:name w:val="Hyperlink"/>
    <w:basedOn w:val="DefaultParagraphFont"/>
    <w:uiPriority w:val="99"/>
    <w:semiHidden/>
    <w:unhideWhenUsed/>
    <w:rsid w:val="004C63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D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38C"/>
    <w:pPr>
      <w:spacing w:before="100" w:beforeAutospacing="1" w:after="100" w:afterAutospacing="1"/>
    </w:pPr>
    <w:rPr>
      <w:lang w:val="en-US" w:eastAsia="en-US"/>
    </w:rPr>
  </w:style>
  <w:style w:type="character" w:styleId="Strong">
    <w:name w:val="Strong"/>
    <w:basedOn w:val="DefaultParagraphFont"/>
    <w:uiPriority w:val="22"/>
    <w:qFormat/>
    <w:rsid w:val="004C638C"/>
    <w:rPr>
      <w:b/>
      <w:bCs/>
    </w:rPr>
  </w:style>
  <w:style w:type="character" w:styleId="Hyperlink">
    <w:name w:val="Hyperlink"/>
    <w:basedOn w:val="DefaultParagraphFont"/>
    <w:uiPriority w:val="99"/>
    <w:semiHidden/>
    <w:unhideWhenUsed/>
    <w:rsid w:val="004C6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84559">
      <w:bodyDiv w:val="1"/>
      <w:marLeft w:val="0"/>
      <w:marRight w:val="0"/>
      <w:marTop w:val="0"/>
      <w:marBottom w:val="0"/>
      <w:divBdr>
        <w:top w:val="none" w:sz="0" w:space="0" w:color="auto"/>
        <w:left w:val="none" w:sz="0" w:space="0" w:color="auto"/>
        <w:bottom w:val="none" w:sz="0" w:space="0" w:color="auto"/>
        <w:right w:val="none" w:sz="0" w:space="0" w:color="auto"/>
      </w:divBdr>
      <w:divsChild>
        <w:div w:id="1540166774">
          <w:marLeft w:val="0"/>
          <w:marRight w:val="0"/>
          <w:marTop w:val="0"/>
          <w:marBottom w:val="0"/>
          <w:divBdr>
            <w:top w:val="none" w:sz="0" w:space="0" w:color="auto"/>
            <w:left w:val="none" w:sz="0" w:space="0" w:color="auto"/>
            <w:bottom w:val="none" w:sz="0" w:space="0" w:color="auto"/>
            <w:right w:val="none" w:sz="0" w:space="0" w:color="auto"/>
          </w:divBdr>
        </w:div>
        <w:div w:id="1984889255">
          <w:marLeft w:val="0"/>
          <w:marRight w:val="0"/>
          <w:marTop w:val="0"/>
          <w:marBottom w:val="0"/>
          <w:divBdr>
            <w:top w:val="none" w:sz="0" w:space="0" w:color="auto"/>
            <w:left w:val="none" w:sz="0" w:space="0" w:color="auto"/>
            <w:bottom w:val="none" w:sz="0" w:space="0" w:color="auto"/>
            <w:right w:val="none" w:sz="0" w:space="0" w:color="auto"/>
          </w:divBdr>
        </w:div>
        <w:div w:id="1906137539">
          <w:marLeft w:val="0"/>
          <w:marRight w:val="0"/>
          <w:marTop w:val="0"/>
          <w:marBottom w:val="0"/>
          <w:divBdr>
            <w:top w:val="none" w:sz="0" w:space="0" w:color="auto"/>
            <w:left w:val="none" w:sz="0" w:space="0" w:color="auto"/>
            <w:bottom w:val="none" w:sz="0" w:space="0" w:color="auto"/>
            <w:right w:val="none" w:sz="0" w:space="0" w:color="auto"/>
          </w:divBdr>
        </w:div>
        <w:div w:id="948007271">
          <w:marLeft w:val="0"/>
          <w:marRight w:val="0"/>
          <w:marTop w:val="0"/>
          <w:marBottom w:val="0"/>
          <w:divBdr>
            <w:top w:val="none" w:sz="0" w:space="0" w:color="auto"/>
            <w:left w:val="none" w:sz="0" w:space="0" w:color="auto"/>
            <w:bottom w:val="none" w:sz="0" w:space="0" w:color="auto"/>
            <w:right w:val="none" w:sz="0" w:space="0" w:color="auto"/>
          </w:divBdr>
        </w:div>
        <w:div w:id="678779062">
          <w:marLeft w:val="0"/>
          <w:marRight w:val="0"/>
          <w:marTop w:val="0"/>
          <w:marBottom w:val="0"/>
          <w:divBdr>
            <w:top w:val="none" w:sz="0" w:space="0" w:color="auto"/>
            <w:left w:val="none" w:sz="0" w:space="0" w:color="auto"/>
            <w:bottom w:val="none" w:sz="0" w:space="0" w:color="auto"/>
            <w:right w:val="none" w:sz="0" w:space="0" w:color="auto"/>
          </w:divBdr>
        </w:div>
        <w:div w:id="1803495882">
          <w:marLeft w:val="0"/>
          <w:marRight w:val="0"/>
          <w:marTop w:val="0"/>
          <w:marBottom w:val="0"/>
          <w:divBdr>
            <w:top w:val="none" w:sz="0" w:space="0" w:color="auto"/>
            <w:left w:val="none" w:sz="0" w:space="0" w:color="auto"/>
            <w:bottom w:val="none" w:sz="0" w:space="0" w:color="auto"/>
            <w:right w:val="none" w:sz="0" w:space="0" w:color="auto"/>
          </w:divBdr>
        </w:div>
        <w:div w:id="1059404199">
          <w:marLeft w:val="0"/>
          <w:marRight w:val="0"/>
          <w:marTop w:val="0"/>
          <w:marBottom w:val="0"/>
          <w:divBdr>
            <w:top w:val="none" w:sz="0" w:space="0" w:color="auto"/>
            <w:left w:val="none" w:sz="0" w:space="0" w:color="auto"/>
            <w:bottom w:val="none" w:sz="0" w:space="0" w:color="auto"/>
            <w:right w:val="none" w:sz="0" w:space="0" w:color="auto"/>
          </w:divBdr>
        </w:div>
        <w:div w:id="1647004214">
          <w:marLeft w:val="0"/>
          <w:marRight w:val="0"/>
          <w:marTop w:val="0"/>
          <w:marBottom w:val="0"/>
          <w:divBdr>
            <w:top w:val="none" w:sz="0" w:space="0" w:color="auto"/>
            <w:left w:val="none" w:sz="0" w:space="0" w:color="auto"/>
            <w:bottom w:val="none" w:sz="0" w:space="0" w:color="auto"/>
            <w:right w:val="none" w:sz="0" w:space="0" w:color="auto"/>
          </w:divBdr>
        </w:div>
        <w:div w:id="264122733">
          <w:marLeft w:val="0"/>
          <w:marRight w:val="0"/>
          <w:marTop w:val="0"/>
          <w:marBottom w:val="0"/>
          <w:divBdr>
            <w:top w:val="none" w:sz="0" w:space="0" w:color="auto"/>
            <w:left w:val="none" w:sz="0" w:space="0" w:color="auto"/>
            <w:bottom w:val="none" w:sz="0" w:space="0" w:color="auto"/>
            <w:right w:val="none" w:sz="0" w:space="0" w:color="auto"/>
          </w:divBdr>
        </w:div>
      </w:divsChild>
    </w:div>
    <w:div w:id="1038821078">
      <w:bodyDiv w:val="1"/>
      <w:marLeft w:val="0"/>
      <w:marRight w:val="0"/>
      <w:marTop w:val="0"/>
      <w:marBottom w:val="0"/>
      <w:divBdr>
        <w:top w:val="none" w:sz="0" w:space="0" w:color="auto"/>
        <w:left w:val="none" w:sz="0" w:space="0" w:color="auto"/>
        <w:bottom w:val="none" w:sz="0" w:space="0" w:color="auto"/>
        <w:right w:val="none" w:sz="0" w:space="0" w:color="auto"/>
      </w:divBdr>
    </w:div>
    <w:div w:id="20862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59</cp:revision>
  <dcterms:created xsi:type="dcterms:W3CDTF">2019-09-19T15:29:00Z</dcterms:created>
  <dcterms:modified xsi:type="dcterms:W3CDTF">2019-10-30T07:36:00Z</dcterms:modified>
</cp:coreProperties>
</file>