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FF" w:rsidRDefault="00A268B5" w:rsidP="009015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Araz-Naxçıvan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mübarizəni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dayandırıb</w:t>
      </w:r>
      <w:proofErr w:type="spellEnd"/>
    </w:p>
    <w:p w:rsidR="00034D69" w:rsidRDefault="00A2294C" w:rsidP="0090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94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Araz-Naxçıvan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” UEFA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Çempionlar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Liqasının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ilkin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mərhələsində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oyununu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keçirib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Təmsilçimiz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meydan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sahibi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Riqa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qarşılaşıb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. İlk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oyunu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cəzalı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olduğuna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görə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buraxan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Felipinyo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dəfə</w:t>
      </w:r>
      <w:proofErr w:type="spellEnd"/>
      <w:r w:rsidR="0090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53E">
        <w:rPr>
          <w:rFonts w:ascii="Times New Roman" w:hAnsi="Times New Roman" w:cs="Times New Roman"/>
          <w:sz w:val="24"/>
          <w:szCs w:val="24"/>
        </w:rPr>
        <w:t>komandamız</w:t>
      </w:r>
      <w:r w:rsidRPr="00A229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0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kömək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edib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53E" w:rsidRDefault="00A268B5" w:rsidP="00901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Fasiləyə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minimalhesablı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üstünlüklə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rəqib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hissədə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vurub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cütün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qalibi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qələbə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Riqa”</w:t>
      </w:r>
      <w:proofErr w:type="gramStart"/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qalibi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etdisə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məğlubiyyət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təmsilçimizi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mübarizədən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kənarlaşdırdı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53E" w:rsidRDefault="0035722E" w:rsidP="0090153E">
      <w:pPr>
        <w:spacing w:after="0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2294C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“</w:t>
      </w:r>
      <w:proofErr w:type="spellStart"/>
      <w:r w:rsidRPr="00A2294C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Riqa</w:t>
      </w:r>
      <w:proofErr w:type="spellEnd"/>
      <w:r w:rsidRPr="00A2294C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” (</w:t>
      </w:r>
      <w:proofErr w:type="spellStart"/>
      <w:r w:rsidRPr="00A2294C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Latviya</w:t>
      </w:r>
      <w:proofErr w:type="spellEnd"/>
      <w:r w:rsidRPr="00A2294C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 – “</w:t>
      </w:r>
      <w:proofErr w:type="spellStart"/>
      <w:r w:rsidRPr="00A2294C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Araz-Naxçıvan</w:t>
      </w:r>
      <w:proofErr w:type="spellEnd"/>
      <w:r w:rsidRPr="00A2294C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  <w:r w:rsidR="00645EE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(3:2)</w:t>
      </w:r>
      <w:r w:rsidR="00A268B5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8:3</w:t>
      </w:r>
    </w:p>
    <w:p w:rsidR="0090153E" w:rsidRPr="0090153E" w:rsidRDefault="0035722E" w:rsidP="0090153E">
      <w:pPr>
        <w:spacing w:after="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90153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UEFA </w:t>
      </w:r>
      <w:proofErr w:type="spellStart"/>
      <w:r w:rsidRPr="0090153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Çempionlar</w:t>
      </w:r>
      <w:proofErr w:type="spellEnd"/>
      <w:r w:rsidRPr="0090153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0153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Liqası</w:t>
      </w:r>
      <w:proofErr w:type="spellEnd"/>
      <w:r w:rsidRPr="0090153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0153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İlkin</w:t>
      </w:r>
      <w:proofErr w:type="spellEnd"/>
      <w:r w:rsidRPr="0090153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0153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mərhələ</w:t>
      </w:r>
      <w:proofErr w:type="spellEnd"/>
    </w:p>
    <w:p w:rsidR="0090153E" w:rsidRDefault="0035722E" w:rsidP="009015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26</w:t>
      </w:r>
      <w:proofErr w:type="gram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avqust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Salaspils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İdman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Arenası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 18:00</w:t>
      </w:r>
    </w:p>
    <w:p w:rsidR="0090153E" w:rsidRDefault="0035722E" w:rsidP="009015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Hakimlər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Arttu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Kyynaeraeinen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Finlandiya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>), Martina Piccolo (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İtaliya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), Georgios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Kozakos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Kipr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153E" w:rsidRDefault="0035722E" w:rsidP="009015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294C">
        <w:rPr>
          <w:rFonts w:ascii="Times New Roman" w:hAnsi="Times New Roman" w:cs="Times New Roman"/>
          <w:color w:val="000000"/>
          <w:sz w:val="24"/>
          <w:szCs w:val="24"/>
        </w:rPr>
        <w:t>Hakim-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Vyaçeslav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Daraqan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Ukrayna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5722E" w:rsidRPr="0090153E" w:rsidRDefault="0035722E" w:rsidP="0090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UEFA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nümayəndəsi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 xml:space="preserve">: Massimo </w:t>
      </w:r>
      <w:proofErr w:type="spellStart"/>
      <w:r w:rsidRPr="00A2294C">
        <w:rPr>
          <w:rFonts w:ascii="Times New Roman" w:hAnsi="Times New Roman" w:cs="Times New Roman"/>
          <w:color w:val="000000"/>
          <w:sz w:val="24"/>
          <w:szCs w:val="24"/>
        </w:rPr>
        <w:t>Nanni</w:t>
      </w:r>
      <w:proofErr w:type="spellEnd"/>
      <w:r w:rsidRPr="00A2294C">
        <w:rPr>
          <w:rFonts w:ascii="Times New Roman" w:hAnsi="Times New Roman" w:cs="Times New Roman"/>
          <w:color w:val="000000"/>
          <w:sz w:val="24"/>
          <w:szCs w:val="24"/>
        </w:rPr>
        <w:t> (San Marino)</w:t>
      </w:r>
    </w:p>
    <w:p w:rsidR="0035722E" w:rsidRPr="00A2294C" w:rsidRDefault="0035722E" w:rsidP="00901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294C">
        <w:rPr>
          <w:rFonts w:ascii="Times New Roman" w:hAnsi="Times New Roman" w:cs="Times New Roman"/>
          <w:b/>
          <w:sz w:val="24"/>
          <w:szCs w:val="24"/>
        </w:rPr>
        <w:t>Qollar</w:t>
      </w:r>
      <w:proofErr w:type="spellEnd"/>
      <w:r w:rsidRPr="00A2294C">
        <w:rPr>
          <w:rFonts w:ascii="Times New Roman" w:hAnsi="Times New Roman" w:cs="Times New Roman"/>
          <w:b/>
          <w:sz w:val="24"/>
          <w:szCs w:val="24"/>
        </w:rPr>
        <w:t>:</w:t>
      </w:r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4C">
        <w:rPr>
          <w:rFonts w:ascii="Times New Roman" w:hAnsi="Times New Roman" w:cs="Times New Roman"/>
          <w:sz w:val="24"/>
          <w:szCs w:val="24"/>
        </w:rPr>
        <w:t>Kuzmin</w:t>
      </w:r>
      <w:proofErr w:type="spellEnd"/>
      <w:r w:rsidRPr="00A2294C">
        <w:rPr>
          <w:rFonts w:ascii="Times New Roman" w:hAnsi="Times New Roman" w:cs="Times New Roman"/>
          <w:sz w:val="24"/>
          <w:szCs w:val="24"/>
        </w:rPr>
        <w:t xml:space="preserve">, 2:30, </w:t>
      </w:r>
      <w:r w:rsidR="001B0F2F" w:rsidRPr="00A2294C">
        <w:rPr>
          <w:rFonts w:ascii="Times New Roman" w:hAnsi="Times New Roman" w:cs="Times New Roman"/>
          <w:sz w:val="24"/>
          <w:szCs w:val="24"/>
          <w:lang w:val="az-Latn-AZ"/>
        </w:rPr>
        <w:t>Thalles</w:t>
      </w:r>
      <w:r w:rsidR="001B0F2F">
        <w:rPr>
          <w:rFonts w:ascii="Times New Roman" w:hAnsi="Times New Roman" w:cs="Times New Roman"/>
          <w:sz w:val="24"/>
          <w:szCs w:val="24"/>
          <w:lang w:val="az-Latn-AZ"/>
        </w:rPr>
        <w:t>, 10:24</w:t>
      </w:r>
      <w:r w:rsidR="00182C61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182C61" w:rsidRPr="00A2294C">
        <w:rPr>
          <w:rFonts w:ascii="Times New Roman" w:hAnsi="Times New Roman" w:cs="Times New Roman"/>
          <w:sz w:val="24"/>
          <w:szCs w:val="24"/>
          <w:lang w:val="az-Latn-AZ"/>
        </w:rPr>
        <w:t xml:space="preserve">Serjinyo, </w:t>
      </w:r>
      <w:r w:rsidR="00182C61">
        <w:rPr>
          <w:rFonts w:ascii="Times New Roman" w:hAnsi="Times New Roman" w:cs="Times New Roman"/>
          <w:sz w:val="24"/>
          <w:szCs w:val="24"/>
          <w:lang w:val="az-Latn-AZ"/>
        </w:rPr>
        <w:t>18:26</w:t>
      </w:r>
      <w:r w:rsidR="00A268B5">
        <w:rPr>
          <w:rFonts w:ascii="Times New Roman" w:hAnsi="Times New Roman" w:cs="Times New Roman"/>
          <w:sz w:val="24"/>
          <w:szCs w:val="24"/>
          <w:lang w:val="az-Latn-AZ"/>
        </w:rPr>
        <w:t>, 27:12, Strazdinş, 24:38, Rikardinyo, 30:05, 39:57, Labuts, 32:54</w:t>
      </w:r>
      <w:r w:rsidR="00DE08EE">
        <w:rPr>
          <w:rFonts w:ascii="Times New Roman" w:hAnsi="Times New Roman" w:cs="Times New Roman"/>
          <w:sz w:val="24"/>
          <w:szCs w:val="24"/>
          <w:lang w:val="az-Latn-AZ"/>
        </w:rPr>
        <w:t xml:space="preserve"> // </w:t>
      </w:r>
      <w:r w:rsidR="00DE08EE" w:rsidRPr="0035722E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Amadeu</w:t>
      </w:r>
      <w:r w:rsidR="00DE08EE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, 14:17</w:t>
      </w:r>
      <w:r w:rsidR="004A104E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, 15:05</w:t>
      </w:r>
      <w:r w:rsidR="00A268B5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, Katatau, 33:51</w:t>
      </w:r>
    </w:p>
    <w:p w:rsidR="00A2294C" w:rsidRDefault="00A2294C" w:rsidP="009015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4C">
        <w:rPr>
          <w:rFonts w:ascii="Times New Roman" w:hAnsi="Times New Roman" w:cs="Times New Roman"/>
          <w:b/>
          <w:sz w:val="24"/>
          <w:szCs w:val="24"/>
        </w:rPr>
        <w:t xml:space="preserve">Sarı </w:t>
      </w:r>
      <w:proofErr w:type="spellStart"/>
      <w:r w:rsidRPr="00A2294C">
        <w:rPr>
          <w:rFonts w:ascii="Times New Roman" w:hAnsi="Times New Roman" w:cs="Times New Roman"/>
          <w:b/>
          <w:sz w:val="24"/>
          <w:szCs w:val="24"/>
        </w:rPr>
        <w:t>vərəqə</w:t>
      </w:r>
      <w:r w:rsidR="0064190D">
        <w:rPr>
          <w:rFonts w:ascii="Times New Roman" w:hAnsi="Times New Roman" w:cs="Times New Roman"/>
          <w:b/>
          <w:sz w:val="24"/>
          <w:szCs w:val="24"/>
        </w:rPr>
        <w:t>lər</w:t>
      </w:r>
      <w:proofErr w:type="spellEnd"/>
      <w:r w:rsidRPr="00A2294C">
        <w:rPr>
          <w:rFonts w:ascii="Times New Roman" w:hAnsi="Times New Roman" w:cs="Times New Roman"/>
          <w:b/>
          <w:sz w:val="24"/>
          <w:szCs w:val="24"/>
        </w:rPr>
        <w:t>:</w:t>
      </w:r>
      <w:r w:rsidRPr="00A2294C">
        <w:rPr>
          <w:rFonts w:ascii="Times New Roman" w:hAnsi="Times New Roman" w:cs="Times New Roman"/>
          <w:sz w:val="24"/>
          <w:szCs w:val="24"/>
        </w:rPr>
        <w:t xml:space="preserve"> </w:t>
      </w:r>
      <w:r w:rsidR="00F64C06" w:rsidRPr="00A2294C">
        <w:rPr>
          <w:rFonts w:ascii="Times New Roman" w:hAnsi="Times New Roman" w:cs="Times New Roman"/>
          <w:sz w:val="24"/>
          <w:szCs w:val="24"/>
          <w:lang w:val="az-Latn-AZ"/>
        </w:rPr>
        <w:t xml:space="preserve">Vaporaki, </w:t>
      </w:r>
      <w:r w:rsidR="00F64C06">
        <w:rPr>
          <w:rFonts w:ascii="Times New Roman" w:hAnsi="Times New Roman" w:cs="Times New Roman"/>
          <w:sz w:val="24"/>
          <w:szCs w:val="24"/>
          <w:lang w:val="az-Latn-AZ"/>
        </w:rPr>
        <w:t>19:12</w:t>
      </w:r>
      <w:r w:rsidR="00A268B5">
        <w:rPr>
          <w:rFonts w:ascii="Times New Roman" w:hAnsi="Times New Roman" w:cs="Times New Roman"/>
          <w:sz w:val="24"/>
          <w:szCs w:val="24"/>
          <w:lang w:val="az-Latn-AZ"/>
        </w:rPr>
        <w:t>, Vargas, 27:52</w:t>
      </w:r>
      <w:r w:rsidR="00F64C06">
        <w:rPr>
          <w:rFonts w:ascii="Times New Roman" w:hAnsi="Times New Roman" w:cs="Times New Roman"/>
          <w:sz w:val="24"/>
          <w:szCs w:val="24"/>
          <w:lang w:val="az-Latn-AZ"/>
        </w:rPr>
        <w:t xml:space="preserve"> // </w:t>
      </w:r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Lazar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Milosavljeviç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3:56</w:t>
      </w:r>
      <w:r w:rsidR="001B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B0F2F"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Katatau</w:t>
      </w:r>
      <w:proofErr w:type="spellEnd"/>
      <w:r w:rsidR="001B0F2F">
        <w:rPr>
          <w:rFonts w:ascii="Times New Roman" w:eastAsia="Times New Roman" w:hAnsi="Times New Roman" w:cs="Times New Roman"/>
          <w:color w:val="000000"/>
          <w:sz w:val="24"/>
          <w:szCs w:val="24"/>
        </w:rPr>
        <w:t>, 10:23</w:t>
      </w:r>
      <w:r w:rsidR="00A26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68B5">
        <w:rPr>
          <w:rFonts w:ascii="Times New Roman" w:eastAsia="Times New Roman" w:hAnsi="Times New Roman" w:cs="Times New Roman"/>
          <w:color w:val="000000"/>
          <w:sz w:val="24"/>
          <w:szCs w:val="24"/>
        </w:rPr>
        <w:t>Felipinyo</w:t>
      </w:r>
      <w:proofErr w:type="spellEnd"/>
      <w:r w:rsidR="00A268B5">
        <w:rPr>
          <w:rFonts w:ascii="Times New Roman" w:eastAsia="Times New Roman" w:hAnsi="Times New Roman" w:cs="Times New Roman"/>
          <w:color w:val="000000"/>
          <w:sz w:val="24"/>
          <w:szCs w:val="24"/>
        </w:rPr>
        <w:t>, 34:27</w:t>
      </w:r>
    </w:p>
    <w:p w:rsidR="0064190D" w:rsidRPr="00A2294C" w:rsidRDefault="0064190D" w:rsidP="00901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19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Qırmızı</w:t>
      </w:r>
      <w:proofErr w:type="spellEnd"/>
      <w:r w:rsidRPr="006419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419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vərəqə</w:t>
      </w:r>
      <w:proofErr w:type="spellEnd"/>
      <w:r w:rsidRPr="006419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Lazar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Milosavljeviç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17:24</w:t>
      </w:r>
    </w:p>
    <w:p w:rsidR="00A2294C" w:rsidRPr="00A2294C" w:rsidRDefault="00A2294C" w:rsidP="0090153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722E" w:rsidRPr="00A2294C" w:rsidRDefault="00A2294C" w:rsidP="0090153E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2294C">
        <w:rPr>
          <w:rFonts w:ascii="Times New Roman" w:hAnsi="Times New Roman" w:cs="Times New Roman"/>
          <w:b/>
          <w:sz w:val="24"/>
          <w:szCs w:val="24"/>
          <w:lang w:val="az-Latn-AZ"/>
        </w:rPr>
        <w:t>“Riqa”</w:t>
      </w:r>
    </w:p>
    <w:p w:rsidR="00A2294C" w:rsidRPr="00A2294C" w:rsidRDefault="00A2294C" w:rsidP="0090153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2294C">
        <w:rPr>
          <w:rFonts w:ascii="Times New Roman" w:hAnsi="Times New Roman" w:cs="Times New Roman"/>
          <w:sz w:val="24"/>
          <w:szCs w:val="24"/>
          <w:lang w:val="az-Latn-AZ"/>
        </w:rPr>
        <w:t>23. Labuts (q), 8. Kulepovs, 10. Kuzmin, 17. Kozlovskis, 24. Rikardinyo, 12. Krizanovskis (q), 2. Rimkus, 3. Varqas, 7. Sens (k), 11. Strazdins, 14. Serjinyo, 16. Mikeviçs, 22. Vaporaki, 37. Thalles</w:t>
      </w:r>
    </w:p>
    <w:p w:rsidR="00A2294C" w:rsidRPr="00A2294C" w:rsidRDefault="00A2294C" w:rsidP="0090153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2294C">
        <w:rPr>
          <w:rFonts w:ascii="Times New Roman" w:hAnsi="Times New Roman" w:cs="Times New Roman"/>
          <w:b/>
          <w:sz w:val="24"/>
          <w:szCs w:val="24"/>
          <w:lang w:val="az-Latn-AZ"/>
        </w:rPr>
        <w:t>Baş məşqçi:</w:t>
      </w:r>
      <w:r w:rsidRPr="00A2294C">
        <w:rPr>
          <w:rFonts w:ascii="Times New Roman" w:hAnsi="Times New Roman" w:cs="Times New Roman"/>
          <w:sz w:val="24"/>
          <w:szCs w:val="24"/>
          <w:lang w:val="az-Latn-AZ"/>
        </w:rPr>
        <w:t xml:space="preserve"> Artur Şketovski </w:t>
      </w:r>
    </w:p>
    <w:p w:rsidR="0035722E" w:rsidRPr="00A2294C" w:rsidRDefault="0035722E" w:rsidP="0090153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5722E" w:rsidRPr="0035722E" w:rsidRDefault="0035722E" w:rsidP="0090153E">
      <w:pPr>
        <w:shd w:val="clear" w:color="auto" w:fill="F4F4F4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</w:pPr>
      <w:r w:rsidRPr="00A2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az-Latn-AZ"/>
        </w:rPr>
        <w:t>“Araz-Naxçıvan”</w:t>
      </w:r>
    </w:p>
    <w:p w:rsidR="0035722E" w:rsidRPr="0035722E" w:rsidRDefault="0035722E" w:rsidP="0090153E">
      <w:pPr>
        <w:shd w:val="clear" w:color="auto" w:fill="F4F4F4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12. Luka Pavloviç (q), </w:t>
      </w:r>
      <w:r w:rsidR="00A2294C" w:rsidRPr="00A2294C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8. Felipinyo, </w:t>
      </w:r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7. Romao Lukas, 9. Lazar Milosavljeviç, 20. Amadeu, 1. Emin Kürdov (q,k</w:t>
      </w:r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3.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Tofiq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Mikayılov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294C" w:rsidRPr="0035722E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6. </w:t>
      </w:r>
      <w:proofErr w:type="spellStart"/>
      <w:r w:rsidR="00A2294C"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Aleksiç</w:t>
      </w:r>
      <w:proofErr w:type="spellEnd"/>
      <w:r w:rsidR="00A2294C"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294C"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Ninoslav</w:t>
      </w:r>
      <w:proofErr w:type="spellEnd"/>
      <w:r w:rsidR="00A2294C"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İsa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Atayev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11.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Xətai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Bağırov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13.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Novruz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Kazıxanov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14.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Xəzər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Ağalızadə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15. Erik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Dannilo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21.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Katatau</w:t>
      </w:r>
      <w:proofErr w:type="spellEnd"/>
    </w:p>
    <w:p w:rsidR="0035722E" w:rsidRPr="0035722E" w:rsidRDefault="0035722E" w:rsidP="0090153E">
      <w:pPr>
        <w:shd w:val="clear" w:color="auto" w:fill="F4F4F4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Baş</w:t>
      </w:r>
      <w:proofErr w:type="spellEnd"/>
      <w:r w:rsidRPr="00A2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məşqçi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Vitali</w:t>
      </w:r>
      <w:proofErr w:type="spellEnd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Borisov</w:t>
      </w:r>
      <w:proofErr w:type="spellEnd"/>
    </w:p>
    <w:p w:rsidR="0035722E" w:rsidRPr="0035722E" w:rsidRDefault="0035722E" w:rsidP="0090153E">
      <w:pPr>
        <w:shd w:val="clear" w:color="auto" w:fill="F4F4F4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2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146"/>
        <w:gridCol w:w="1080"/>
        <w:gridCol w:w="990"/>
        <w:gridCol w:w="1080"/>
        <w:gridCol w:w="900"/>
        <w:gridCol w:w="1170"/>
        <w:gridCol w:w="900"/>
      </w:tblGrid>
      <w:tr w:rsidR="0035722E" w:rsidRPr="00A2294C" w:rsidTr="0035722E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5722E" w:rsidRPr="0035722E" w:rsidRDefault="0035722E" w:rsidP="0035722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5722E" w:rsidRPr="0035722E" w:rsidRDefault="0035722E" w:rsidP="0035722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35722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5722E" w:rsidRPr="0035722E" w:rsidRDefault="0035722E" w:rsidP="0035722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5722E" w:rsidRPr="0035722E" w:rsidRDefault="0035722E" w:rsidP="0035722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Q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5722E" w:rsidRPr="0035722E" w:rsidRDefault="0035722E" w:rsidP="0035722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H/H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5722E" w:rsidRPr="0035722E" w:rsidRDefault="0035722E" w:rsidP="0035722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5722E" w:rsidRPr="0035722E" w:rsidRDefault="0035722E" w:rsidP="0035722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T/F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5722E" w:rsidRPr="0035722E" w:rsidRDefault="0035722E" w:rsidP="0035722E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X</w:t>
            </w:r>
          </w:p>
        </w:tc>
      </w:tr>
      <w:tr w:rsidR="00A2294C" w:rsidRPr="00A2294C" w:rsidTr="00A2294C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Riqa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68B5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68B5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68B5" w:rsidP="00A268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A2294C"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68B5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94C" w:rsidRPr="00A2294C" w:rsidTr="00A2294C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Araz-Naxçıvan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68B5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68B5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294C" w:rsidP="00A268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68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68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94C" w:rsidRPr="00A2294C" w:rsidTr="0035722E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Jahn</w:t>
            </w:r>
            <w:proofErr w:type="spellEnd"/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Regensburq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68B5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68B5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294C"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68B5" w:rsidP="00A268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294C"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68B5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94C" w:rsidRPr="00A2294C" w:rsidTr="0035722E"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İstanbul </w:t>
            </w:r>
            <w:proofErr w:type="spellStart"/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Şişli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68B5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68B5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68B5" w:rsidP="00A268B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294C"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2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294C" w:rsidRPr="0035722E" w:rsidRDefault="00A2294C" w:rsidP="00A2294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722E" w:rsidRPr="00A2294C" w:rsidRDefault="0035722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35722E" w:rsidRPr="00A229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7"/>
    <w:rsid w:val="00034D69"/>
    <w:rsid w:val="00041EFF"/>
    <w:rsid w:val="00182C61"/>
    <w:rsid w:val="001B0F2F"/>
    <w:rsid w:val="0035722E"/>
    <w:rsid w:val="004A104E"/>
    <w:rsid w:val="0064190D"/>
    <w:rsid w:val="00645EE6"/>
    <w:rsid w:val="0090153E"/>
    <w:rsid w:val="00A2294C"/>
    <w:rsid w:val="00A268B5"/>
    <w:rsid w:val="00BA2397"/>
    <w:rsid w:val="00DE08EE"/>
    <w:rsid w:val="00F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83410-D5D1-4A1F-B652-9E74765F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12</cp:revision>
  <dcterms:created xsi:type="dcterms:W3CDTF">2023-08-26T14:12:00Z</dcterms:created>
  <dcterms:modified xsi:type="dcterms:W3CDTF">2023-08-26T16:37:00Z</dcterms:modified>
</cp:coreProperties>
</file>